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03" w:rsidRPr="00EC4703" w:rsidRDefault="005407CB" w:rsidP="00540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Экологическая информация</w:t>
      </w:r>
    </w:p>
    <w:p w:rsidR="00154B8C" w:rsidRDefault="00154B8C" w:rsidP="00154B8C">
      <w:r>
        <w:t>5.7.Состояние окружающей среды и природных ресурсов</w:t>
      </w:r>
    </w:p>
    <w:p w:rsidR="00154B8C" w:rsidRDefault="00154B8C" w:rsidP="00154B8C">
      <w:r>
        <w:tab/>
        <w:t>Цель - обеспечение охраны окружающей среды, защищенности природных систем и населения Барабинского района Новосибирской области от негативных воздействий.</w:t>
      </w:r>
    </w:p>
    <w:p w:rsidR="00154B8C" w:rsidRDefault="00154B8C" w:rsidP="00154B8C">
      <w:r>
        <w:t>Меры по обеспечению экологической безопасности населения, восстановлению природных экосистем и биологического разнообразия реализуются в рамках:</w:t>
      </w:r>
    </w:p>
    <w:p w:rsidR="00154B8C" w:rsidRDefault="00154B8C" w:rsidP="00154B8C">
      <w:r>
        <w:t>национального проекта «Экология»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154B8C" w:rsidRDefault="00154B8C" w:rsidP="00154B8C">
      <w:r>
        <w:t>государственной программы Новосибирской области «Охрана окружающей среды», утвержденной постановлением Правительства Новосибирской области от 28.01.2015 № 28-п;</w:t>
      </w:r>
    </w:p>
    <w:p w:rsidR="00154B8C" w:rsidRDefault="00154B8C" w:rsidP="00154B8C">
      <w:r>
        <w:t>государственной программы Новосибирской области «Развитие лесного хозяйства Новосибирской области в 2015-2020 годах», утвержденной постановлением Правительства Новосибирской области от 24.11.2014 № 464-п;</w:t>
      </w:r>
    </w:p>
    <w:p w:rsidR="00154B8C" w:rsidRDefault="00154B8C" w:rsidP="00154B8C">
      <w:r>
        <w:t>государственной программы Новосибирской области «Развитие системы обращения с отходами производства и потребления в Новосибирской области в 2015-2020 годах», утвержденной постановлением Правительства Новосибирской области от 19.01.2015 № 10-п;</w:t>
      </w:r>
    </w:p>
    <w:p w:rsidR="00154B8C" w:rsidRDefault="00154B8C" w:rsidP="00154B8C">
      <w:r>
        <w:t xml:space="preserve">муниципальной программы «Охрана окружающей среды </w:t>
      </w:r>
      <w:proofErr w:type="gramStart"/>
      <w:r>
        <w:t>в</w:t>
      </w:r>
      <w:proofErr w:type="gramEnd"/>
      <w:r>
        <w:t xml:space="preserve"> </w:t>
      </w:r>
      <w:proofErr w:type="gramStart"/>
      <w:r>
        <w:t>Барабинском</w:t>
      </w:r>
      <w:proofErr w:type="gramEnd"/>
      <w:r>
        <w:t xml:space="preserve"> районе Новосибирской области на 2021-2026 годы», утвержденной постановлением администрации Барабинского района от 13.11.2020 № 1301.</w:t>
      </w:r>
    </w:p>
    <w:p w:rsidR="00154B8C" w:rsidRDefault="00154B8C" w:rsidP="00154B8C">
      <w:r>
        <w:t>Основными направлениями деятельности на 2022-2024 годы являются: совершенствование системы обращения с отходами, повышение эффективности использования, охраны, защиты и воспроизводства лесов; рациональное использование объектов животного мира; поддержание оптимальных условий водопользования, обеспечение качества поверхностных и подземных вод; обеспечение качества окружающей среды, необходимого для благоприятной жизни человека.</w:t>
      </w:r>
    </w:p>
    <w:p w:rsidR="00154B8C" w:rsidRDefault="00154B8C" w:rsidP="00154B8C">
      <w:r>
        <w:t xml:space="preserve">Экологическая ситуация на территории района обусловлена наличием ряда факторов, ухудшающих состояние окружающей среды. На загрязнение атмосферного воздуха влияют несколько основных факторов - предприятия района и автотранспорт, проходящий, в том числе, по федеральной трассе «Иртыш», а также отсутствие на предприятиях пылегазоочистного оборудования. Загрязнение окружающей среды и негативное воздействие на здоровье населения оказывает Транссибирская железнодорожная магистраль. Большой  вклад в загрязнение атмосферного воздуха вносят стационарные источники загрязнения, прежде всего объекты теплоэнергетики (большинство котельных в районе используют твёрдое топливо).  Этому в немалой степени способствуют климатические особенности местности и продолжительный отопительный сезон. </w:t>
      </w:r>
    </w:p>
    <w:p w:rsidR="00154B8C" w:rsidRDefault="00154B8C" w:rsidP="00154B8C">
      <w:r>
        <w:t xml:space="preserve">В целях улучшения экологической обстановки на территории района планируются мероприятия по переводу котельных на газ, а так же по замене устаревшего оборудования объектов теплоэнергетики на более </w:t>
      </w:r>
      <w:proofErr w:type="gramStart"/>
      <w:r>
        <w:t>современное</w:t>
      </w:r>
      <w:proofErr w:type="gramEnd"/>
      <w:r>
        <w:t>.</w:t>
      </w:r>
    </w:p>
    <w:p w:rsidR="00154B8C" w:rsidRDefault="00154B8C" w:rsidP="00154B8C">
      <w:r>
        <w:t xml:space="preserve">Администрацией Барабинского района Новосибирской области в течение нескольких лет оказывается финансовая поддержка Барабинскому отделу государственного контроля, надзора и охраны биоресурсов и среды их обитания, в 2021 году было выделено 50 тыс. руб. на проведение </w:t>
      </w:r>
      <w:r>
        <w:lastRenderedPageBreak/>
        <w:t>оперативных рейдов по охране водных биоресурсов с целью пресечения браконьерства и нанесения ущерба рыбопромысловым предприятиям. В 2022-2024 годах планируется оказание данной поддержки в том же объеме. Также администрацией Барабинского района Новосибирской области был создан сводный реестр водных объектов, в том числе для промышленного и товарного рыбоводства, ведется работа с населением, оповещение о свободных рыбопромысловых участках.</w:t>
      </w:r>
    </w:p>
    <w:p w:rsidR="00154B8C" w:rsidRDefault="00154B8C" w:rsidP="00154B8C">
      <w:r>
        <w:t>В прогнозном периоде планируется проведение работ по рекультивации городской свалки в г. Барабинске за счет финансовых средств национального проекта «Экология».</w:t>
      </w:r>
    </w:p>
    <w:p w:rsidR="00154B8C" w:rsidRDefault="00154B8C" w:rsidP="00154B8C">
      <w:r>
        <w:t>Согласно мероприятиям государственной программы Новосибирской области «Охрана окружающей среды на 2015 - 2020 годы» в 2020 году в водные объекты Барабинского района было выпущено 0,97 млн. шт. сазана общим весом 36 т. В целях возмещения ущерба, причиненного водным биоресурсам и среде их обитания в оз</w:t>
      </w:r>
      <w:proofErr w:type="gramStart"/>
      <w:r>
        <w:t>.Ч</w:t>
      </w:r>
      <w:proofErr w:type="gramEnd"/>
      <w:r>
        <w:t xml:space="preserve">аны было выпущено 23,89 тыс. шт. годовика сазана общим весом 812,5 кг. </w:t>
      </w:r>
    </w:p>
    <w:p w:rsidR="00154B8C" w:rsidRDefault="00154B8C" w:rsidP="00154B8C">
      <w:r>
        <w:t xml:space="preserve">На территории Барабинского района реализуются мероприятия по экологическому просвещению и мотивации населения к деятельности по раздельному сбору твердых коммунальных отходов. Учреждения образования и культуры, администрации муниципальных образований, общественные организации и население принимают активное участие в экологических акциях районного и областного масштаба, а также всероссийского – «Зеленая Весна», «Зеленая Россия», «Вода России», «Чистый Берег», «Лес Победы». Ежегодно весной и осенью на территории муниципальных образований Барабинского района проводятся субботники – </w:t>
      </w:r>
      <w:proofErr w:type="gramStart"/>
      <w:r>
        <w:t>улицы</w:t>
      </w:r>
      <w:proofErr w:type="gramEnd"/>
      <w:r>
        <w:t xml:space="preserve"> и места общего пользования убираются от пожухлой травы, листвы и мусора, высаживаются цветы, кусты и саженцы деревьев. Наиболее активное участие в акциях традиционно принимают учреждения образования и культуры Барабинского района Новосибирской области. Они организуют как развлекательные (экологические КВНы, конкурсы плакатов, поделок и рисунков), так и познавательные мероприятия (уроки по охране окружающей среды, просмотр видеофильмов природоохранной тематики).</w:t>
      </w:r>
    </w:p>
    <w:p w:rsidR="00154B8C" w:rsidRDefault="00154B8C" w:rsidP="00154B8C">
      <w:r>
        <w:t>В 2022 году в экологических акциях примут участие более 8700 человек, количество организаций - около 55, количество мероприятий - более 230. К 2023 году данные показатели должны составить 8800 человек, организаций – 57, мероприятий – 240. По итогам проведенных субботников площадь убранной территории в 2022 году составит порядка 350 га, количество убранного мусора – около 750 куб.м. По прогнозным данным, эти показатели к 2023 году увеличатся до 370 га и 770 куб.м. мусора соответственно.</w:t>
      </w:r>
    </w:p>
    <w:p w:rsidR="00154B8C" w:rsidRDefault="00154B8C" w:rsidP="00154B8C">
      <w:r>
        <w:t>В ноябре 2020 года на территории сельских советов Барабинского района построено 16 контейнерных площадок для сбора ТКО и 43 контейнерных площадок в г. Барабинске. Услугой по сбор и вывозу ТКО с марта 2021 года охвачено всё население Барабинского района.</w:t>
      </w:r>
    </w:p>
    <w:p w:rsidR="00154B8C" w:rsidRDefault="00154B8C" w:rsidP="00154B8C">
      <w:r>
        <w:t xml:space="preserve">По состоянию на ноябрь 2021 года в сельских советах Барабинского района  на контейнерных площадках </w:t>
      </w:r>
      <w:proofErr w:type="gramStart"/>
      <w:r>
        <w:t>расположены</w:t>
      </w:r>
      <w:proofErr w:type="gramEnd"/>
      <w:r>
        <w:t xml:space="preserve"> 66 контейнеров, в г. Барабинск – 123 контейнера. Так как данного количества контейнеров и площадок недостаточно, была подана заявка в Министерство жилищно-коммунального хозяйства и энергетики Новосибирской области на финансирование в размере 5 млн. рублей в 2022 году, решение ожидается.</w:t>
      </w:r>
    </w:p>
    <w:p w:rsidR="00EC4703" w:rsidRPr="005B0EFD" w:rsidRDefault="00EC4703" w:rsidP="00154B8C">
      <w:pPr>
        <w:rPr>
          <w:b/>
          <w:sz w:val="28"/>
          <w:szCs w:val="28"/>
        </w:rPr>
      </w:pPr>
      <w:r w:rsidRPr="005B0EFD">
        <w:rPr>
          <w:b/>
          <w:sz w:val="28"/>
          <w:szCs w:val="28"/>
        </w:rPr>
        <w:t>Информация из стратегии развития Барабинского района до 2030 года</w:t>
      </w:r>
    </w:p>
    <w:p w:rsidR="00154B8C" w:rsidRDefault="00154B8C" w:rsidP="00154B8C">
      <w:r>
        <w:t>1.3.3.</w:t>
      </w:r>
      <w:r>
        <w:tab/>
        <w:t>Экологическая обстановка</w:t>
      </w:r>
    </w:p>
    <w:p w:rsidR="00154B8C" w:rsidRDefault="00154B8C" w:rsidP="00154B8C">
      <w:r>
        <w:lastRenderedPageBreak/>
        <w:t>Обеспечение экологической безопасности на территории Барабинского района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154B8C" w:rsidRDefault="00154B8C" w:rsidP="00154B8C">
      <w:r>
        <w:t>Основными источниками загрязнения воздуха на территории Барабинского района являются автотранспорт, котельные, промышленные предприятия, деятельность сельхозпроизводителей. В г. Барабинске находится основная часть крупных источников загрязнения атмосферного воздуха. Высокий уровень загрязнения имеет локально-точечный (промышленно-коммунальные и сельскохозяйственные объекты) и локально-линейный характер загрязнения (продуктопроводы, транспортная сеть).</w:t>
      </w:r>
    </w:p>
    <w:p w:rsidR="00154B8C" w:rsidRDefault="00154B8C" w:rsidP="00154B8C">
      <w:r>
        <w:t xml:space="preserve">Основными причинами загрязнения воздуха на территории Барабинского района является: </w:t>
      </w:r>
    </w:p>
    <w:p w:rsidR="00154B8C" w:rsidRDefault="00154B8C" w:rsidP="00154B8C">
      <w:r>
        <w:t xml:space="preserve">использование отсталых технологических процессов, устаревшее оборудование, отсутствие или недостаточное количество газопылеулавливающих устройств на промышленных предприятиях и котельных; </w:t>
      </w:r>
    </w:p>
    <w:p w:rsidR="00154B8C" w:rsidRDefault="00154B8C" w:rsidP="00154B8C">
      <w:r>
        <w:t xml:space="preserve">использование неэкологичных видов топлива в теплоснабжении; </w:t>
      </w:r>
    </w:p>
    <w:p w:rsidR="00154B8C" w:rsidRDefault="00154B8C" w:rsidP="00154B8C">
      <w:r>
        <w:t>значительное количество неорганизованных источников выделения вредных веществ в атмосферу;</w:t>
      </w:r>
    </w:p>
    <w:p w:rsidR="00154B8C" w:rsidRDefault="00154B8C" w:rsidP="00154B8C">
      <w:r>
        <w:t>недостатки планировочной структуры: основная масса промышленных объектов расположена в селитебной зоне без необходимых обустроенных санитарных разрывов.</w:t>
      </w:r>
    </w:p>
    <w:p w:rsidR="00154B8C" w:rsidRDefault="00154B8C" w:rsidP="00154B8C">
      <w:r>
        <w:t>Основная доля выбросов приходится на зимнее время, т.к. котельные используют в качестве топлива уголь.</w:t>
      </w:r>
    </w:p>
    <w:p w:rsidR="00154B8C" w:rsidRDefault="00154B8C" w:rsidP="00154B8C">
      <w:r>
        <w:t xml:space="preserve">В целях улучшения экологической обстановки на территории района проводятся мероприятия по переводу котельных на газ, по замене устаревшего оборудования котельных на более </w:t>
      </w:r>
      <w:proofErr w:type="gramStart"/>
      <w:r>
        <w:t>современное</w:t>
      </w:r>
      <w:proofErr w:type="gramEnd"/>
      <w:r>
        <w:t>.</w:t>
      </w:r>
    </w:p>
    <w:p w:rsidR="00154B8C" w:rsidRDefault="00154B8C" w:rsidP="00154B8C">
      <w:r>
        <w:t>Выбросы наиболее распространенных загрязняющих веществ, отходящих от стационарных источников выделения (тыс. тонн в 2017 году)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345A3" w:rsidRPr="001345A3" w:rsidTr="009E5AD4">
        <w:tc>
          <w:tcPr>
            <w:tcW w:w="1914" w:type="dxa"/>
            <w:vMerge w:val="restart"/>
          </w:tcPr>
          <w:p w:rsidR="001345A3" w:rsidRPr="001345A3" w:rsidRDefault="001345A3" w:rsidP="006A6C3C">
            <w:r w:rsidRPr="001345A3">
              <w:t>Территория</w:t>
            </w:r>
          </w:p>
        </w:tc>
        <w:tc>
          <w:tcPr>
            <w:tcW w:w="1914" w:type="dxa"/>
            <w:vMerge w:val="restart"/>
          </w:tcPr>
          <w:p w:rsidR="001345A3" w:rsidRPr="001345A3" w:rsidRDefault="001345A3" w:rsidP="006A6C3C">
            <w:r w:rsidRPr="001345A3">
              <w:t>Выбросы загрязняющих веществ</w:t>
            </w:r>
          </w:p>
        </w:tc>
        <w:tc>
          <w:tcPr>
            <w:tcW w:w="5743" w:type="dxa"/>
            <w:gridSpan w:val="3"/>
          </w:tcPr>
          <w:p w:rsidR="001345A3" w:rsidRPr="001345A3" w:rsidRDefault="001345A3" w:rsidP="006A6C3C">
            <w:r w:rsidRPr="001345A3">
              <w:t>в том числе по веществам</w:t>
            </w:r>
          </w:p>
        </w:tc>
      </w:tr>
      <w:tr w:rsidR="001345A3" w:rsidRPr="001345A3" w:rsidTr="001345A3">
        <w:tc>
          <w:tcPr>
            <w:tcW w:w="1914" w:type="dxa"/>
            <w:vMerge/>
          </w:tcPr>
          <w:p w:rsidR="001345A3" w:rsidRPr="001345A3" w:rsidRDefault="001345A3" w:rsidP="006A6C3C"/>
        </w:tc>
        <w:tc>
          <w:tcPr>
            <w:tcW w:w="1914" w:type="dxa"/>
            <w:vMerge/>
          </w:tcPr>
          <w:p w:rsidR="001345A3" w:rsidRPr="001345A3" w:rsidRDefault="001345A3" w:rsidP="006A6C3C"/>
        </w:tc>
        <w:tc>
          <w:tcPr>
            <w:tcW w:w="1914" w:type="dxa"/>
          </w:tcPr>
          <w:p w:rsidR="001345A3" w:rsidRPr="001345A3" w:rsidRDefault="001345A3" w:rsidP="006A6C3C">
            <w:r w:rsidRPr="001345A3">
              <w:t>диоксид серы</w:t>
            </w:r>
          </w:p>
        </w:tc>
        <w:tc>
          <w:tcPr>
            <w:tcW w:w="1914" w:type="dxa"/>
          </w:tcPr>
          <w:p w:rsidR="001345A3" w:rsidRPr="001345A3" w:rsidRDefault="001345A3" w:rsidP="006A6C3C">
            <w:r w:rsidRPr="001345A3">
              <w:t>оксид углерода</w:t>
            </w:r>
          </w:p>
        </w:tc>
        <w:tc>
          <w:tcPr>
            <w:tcW w:w="1915" w:type="dxa"/>
          </w:tcPr>
          <w:p w:rsidR="001345A3" w:rsidRPr="001345A3" w:rsidRDefault="001345A3" w:rsidP="006A6C3C">
            <w:r w:rsidRPr="001345A3">
              <w:t>оксиды азота</w:t>
            </w:r>
          </w:p>
        </w:tc>
      </w:tr>
      <w:tr w:rsidR="001345A3" w:rsidRPr="001345A3" w:rsidTr="001345A3">
        <w:tc>
          <w:tcPr>
            <w:tcW w:w="1914" w:type="dxa"/>
          </w:tcPr>
          <w:p w:rsidR="001345A3" w:rsidRPr="001345A3" w:rsidRDefault="001345A3" w:rsidP="006A6C3C">
            <w:r w:rsidRPr="001345A3">
              <w:t>г. Барабинск</w:t>
            </w:r>
          </w:p>
        </w:tc>
        <w:tc>
          <w:tcPr>
            <w:tcW w:w="1914" w:type="dxa"/>
          </w:tcPr>
          <w:p w:rsidR="001345A3" w:rsidRPr="001345A3" w:rsidRDefault="001345A3" w:rsidP="006A6C3C">
            <w:r w:rsidRPr="001345A3">
              <w:t>3,104</w:t>
            </w:r>
          </w:p>
        </w:tc>
        <w:tc>
          <w:tcPr>
            <w:tcW w:w="1914" w:type="dxa"/>
          </w:tcPr>
          <w:p w:rsidR="001345A3" w:rsidRPr="001345A3" w:rsidRDefault="001345A3" w:rsidP="006A6C3C">
            <w:r w:rsidRPr="001345A3">
              <w:t>0,252</w:t>
            </w:r>
          </w:p>
        </w:tc>
        <w:tc>
          <w:tcPr>
            <w:tcW w:w="1914" w:type="dxa"/>
          </w:tcPr>
          <w:p w:rsidR="001345A3" w:rsidRPr="001345A3" w:rsidRDefault="001345A3" w:rsidP="006A6C3C">
            <w:r w:rsidRPr="001345A3">
              <w:t>0,668</w:t>
            </w:r>
          </w:p>
        </w:tc>
        <w:tc>
          <w:tcPr>
            <w:tcW w:w="1915" w:type="dxa"/>
          </w:tcPr>
          <w:p w:rsidR="001345A3" w:rsidRPr="001345A3" w:rsidRDefault="001345A3" w:rsidP="006A6C3C">
            <w:r w:rsidRPr="001345A3">
              <w:t>0,130</w:t>
            </w:r>
          </w:p>
        </w:tc>
      </w:tr>
      <w:tr w:rsidR="001345A3" w:rsidRPr="001345A3" w:rsidTr="001345A3">
        <w:tc>
          <w:tcPr>
            <w:tcW w:w="1914" w:type="dxa"/>
          </w:tcPr>
          <w:p w:rsidR="001345A3" w:rsidRPr="001345A3" w:rsidRDefault="001345A3" w:rsidP="006A6C3C">
            <w:r w:rsidRPr="001345A3">
              <w:t xml:space="preserve">Сельские поселения Барабинского района </w:t>
            </w:r>
          </w:p>
        </w:tc>
        <w:tc>
          <w:tcPr>
            <w:tcW w:w="1914" w:type="dxa"/>
          </w:tcPr>
          <w:p w:rsidR="001345A3" w:rsidRPr="001345A3" w:rsidRDefault="001345A3" w:rsidP="006A6C3C">
            <w:r w:rsidRPr="001345A3">
              <w:t>1,133</w:t>
            </w:r>
          </w:p>
        </w:tc>
        <w:tc>
          <w:tcPr>
            <w:tcW w:w="1914" w:type="dxa"/>
          </w:tcPr>
          <w:p w:rsidR="001345A3" w:rsidRPr="001345A3" w:rsidRDefault="001345A3" w:rsidP="006A6C3C">
            <w:r w:rsidRPr="001345A3">
              <w:t>0,109</w:t>
            </w:r>
          </w:p>
        </w:tc>
        <w:tc>
          <w:tcPr>
            <w:tcW w:w="1914" w:type="dxa"/>
          </w:tcPr>
          <w:p w:rsidR="001345A3" w:rsidRPr="001345A3" w:rsidRDefault="001345A3" w:rsidP="006A6C3C">
            <w:r w:rsidRPr="001345A3">
              <w:t>0,599</w:t>
            </w:r>
          </w:p>
        </w:tc>
        <w:tc>
          <w:tcPr>
            <w:tcW w:w="1915" w:type="dxa"/>
          </w:tcPr>
          <w:p w:rsidR="001345A3" w:rsidRPr="001345A3" w:rsidRDefault="001345A3" w:rsidP="006A6C3C">
            <w:r w:rsidRPr="001345A3">
              <w:t>0,025</w:t>
            </w:r>
          </w:p>
        </w:tc>
      </w:tr>
    </w:tbl>
    <w:p w:rsidR="00154B8C" w:rsidRDefault="00154B8C" w:rsidP="00154B8C">
      <w:r>
        <w:t xml:space="preserve">Барабинский район и в частности г. Барабинск относятся к населенным пунктам с высокой степенью активности экзогенных процессов (подтопления). Практически на всей территории района отмечается высокий уровень грунтовых вод. </w:t>
      </w:r>
    </w:p>
    <w:p w:rsidR="00154B8C" w:rsidRDefault="00154B8C" w:rsidP="00154B8C">
      <w:r>
        <w:t>Отрицательное влияние подтопления заключается в следующем:</w:t>
      </w:r>
    </w:p>
    <w:p w:rsidR="00154B8C" w:rsidRDefault="00154B8C" w:rsidP="00154B8C">
      <w:r>
        <w:t>в ухудшении санитарно-гигиенического состояния территории;</w:t>
      </w:r>
    </w:p>
    <w:p w:rsidR="00154B8C" w:rsidRDefault="00154B8C" w:rsidP="00154B8C">
      <w:r>
        <w:t>в снижении надежности конструкций зданий и сооружений, устойчивости и прочности подземных сооружений;</w:t>
      </w:r>
    </w:p>
    <w:p w:rsidR="00154B8C" w:rsidRDefault="00154B8C" w:rsidP="00154B8C">
      <w:r>
        <w:lastRenderedPageBreak/>
        <w:t>в увеличении интенсивности процессов коррозии подземных частей металлических конструкций, трубопроводов;</w:t>
      </w:r>
    </w:p>
    <w:p w:rsidR="00154B8C" w:rsidRDefault="00154B8C" w:rsidP="00154B8C">
      <w:r>
        <w:t xml:space="preserve">в снижении надежности функционирования инженерных коммуникаций, сооружений и оборудования. </w:t>
      </w:r>
    </w:p>
    <w:p w:rsidR="00154B8C" w:rsidRDefault="00154B8C" w:rsidP="00154B8C">
      <w:r>
        <w:t>На 1/3 территории района расположены подземные воды с высокой степенью минерализации (1-1,5 г/куб</w:t>
      </w:r>
      <w:proofErr w:type="gramStart"/>
      <w:r>
        <w:t>.м</w:t>
      </w:r>
      <w:proofErr w:type="gramEnd"/>
      <w:r>
        <w:t>), являющейся опасной для здоровья, еще на 2/3 территории качество воды – удовлетворительное (1,5 – 3 г/куб.м).</w:t>
      </w:r>
    </w:p>
    <w:p w:rsidR="00154B8C" w:rsidRDefault="00154B8C" w:rsidP="00154B8C">
      <w:r>
        <w:t>Результаты мониторинга за качеством воды открытых водоемов представлены в таблице.</w:t>
      </w:r>
    </w:p>
    <w:tbl>
      <w:tblPr>
        <w:tblStyle w:val="a3"/>
        <w:tblW w:w="0" w:type="auto"/>
        <w:tblLook w:val="04A0"/>
      </w:tblPr>
      <w:tblGrid>
        <w:gridCol w:w="2269"/>
        <w:gridCol w:w="1682"/>
        <w:gridCol w:w="1404"/>
        <w:gridCol w:w="1405"/>
        <w:gridCol w:w="1405"/>
        <w:gridCol w:w="1406"/>
      </w:tblGrid>
      <w:tr w:rsidR="001345A3" w:rsidRPr="001345A3" w:rsidTr="005D5669">
        <w:tc>
          <w:tcPr>
            <w:tcW w:w="2269" w:type="dxa"/>
            <w:vMerge w:val="restart"/>
          </w:tcPr>
          <w:p w:rsidR="001345A3" w:rsidRPr="001345A3" w:rsidRDefault="001345A3" w:rsidP="00ED3705">
            <w:r w:rsidRPr="001345A3">
              <w:t>Наименование показателя</w:t>
            </w:r>
          </w:p>
        </w:tc>
        <w:tc>
          <w:tcPr>
            <w:tcW w:w="7302" w:type="dxa"/>
            <w:gridSpan w:val="5"/>
          </w:tcPr>
          <w:p w:rsidR="001345A3" w:rsidRPr="001345A3" w:rsidRDefault="001345A3" w:rsidP="00ED3705">
            <w:r w:rsidRPr="001345A3">
              <w:t>Год (</w:t>
            </w:r>
            <w:proofErr w:type="gramStart"/>
            <w:r w:rsidRPr="001345A3">
              <w:t>отобрано проб/выявлено</w:t>
            </w:r>
            <w:proofErr w:type="gramEnd"/>
            <w:r w:rsidRPr="001345A3">
              <w:t xml:space="preserve"> нестандартных проб)</w:t>
            </w:r>
          </w:p>
        </w:tc>
      </w:tr>
      <w:tr w:rsidR="001345A3" w:rsidRPr="001345A3" w:rsidTr="001345A3">
        <w:tc>
          <w:tcPr>
            <w:tcW w:w="2269" w:type="dxa"/>
            <w:vMerge/>
          </w:tcPr>
          <w:p w:rsidR="001345A3" w:rsidRPr="001345A3" w:rsidRDefault="001345A3" w:rsidP="00ED3705"/>
        </w:tc>
        <w:tc>
          <w:tcPr>
            <w:tcW w:w="1682" w:type="dxa"/>
          </w:tcPr>
          <w:p w:rsidR="001345A3" w:rsidRPr="001345A3" w:rsidRDefault="001345A3" w:rsidP="00ED3705">
            <w:r w:rsidRPr="001345A3">
              <w:t>2013</w:t>
            </w:r>
          </w:p>
        </w:tc>
        <w:tc>
          <w:tcPr>
            <w:tcW w:w="1404" w:type="dxa"/>
          </w:tcPr>
          <w:p w:rsidR="001345A3" w:rsidRPr="001345A3" w:rsidRDefault="001345A3" w:rsidP="00ED3705">
            <w:r w:rsidRPr="001345A3">
              <w:t>2014</w:t>
            </w:r>
          </w:p>
        </w:tc>
        <w:tc>
          <w:tcPr>
            <w:tcW w:w="1405" w:type="dxa"/>
          </w:tcPr>
          <w:p w:rsidR="001345A3" w:rsidRPr="001345A3" w:rsidRDefault="001345A3" w:rsidP="00ED3705">
            <w:r w:rsidRPr="001345A3">
              <w:t>2015</w:t>
            </w:r>
          </w:p>
        </w:tc>
        <w:tc>
          <w:tcPr>
            <w:tcW w:w="1405" w:type="dxa"/>
          </w:tcPr>
          <w:p w:rsidR="001345A3" w:rsidRPr="001345A3" w:rsidRDefault="001345A3" w:rsidP="00ED3705">
            <w:r w:rsidRPr="001345A3">
              <w:t>2016</w:t>
            </w:r>
          </w:p>
        </w:tc>
        <w:tc>
          <w:tcPr>
            <w:tcW w:w="1406" w:type="dxa"/>
          </w:tcPr>
          <w:p w:rsidR="001345A3" w:rsidRPr="001345A3" w:rsidRDefault="001345A3" w:rsidP="00ED3705">
            <w:r w:rsidRPr="001345A3">
              <w:t>2017</w:t>
            </w:r>
          </w:p>
        </w:tc>
      </w:tr>
      <w:tr w:rsidR="001345A3" w:rsidRPr="001345A3" w:rsidTr="001345A3">
        <w:tc>
          <w:tcPr>
            <w:tcW w:w="2269" w:type="dxa"/>
          </w:tcPr>
          <w:p w:rsidR="001345A3" w:rsidRPr="001345A3" w:rsidRDefault="001345A3" w:rsidP="00ED3705">
            <w:r w:rsidRPr="001345A3">
              <w:t>Микробиологические</w:t>
            </w:r>
          </w:p>
        </w:tc>
        <w:tc>
          <w:tcPr>
            <w:tcW w:w="1682" w:type="dxa"/>
          </w:tcPr>
          <w:p w:rsidR="001345A3" w:rsidRPr="001345A3" w:rsidRDefault="001345A3" w:rsidP="00ED3705">
            <w:r w:rsidRPr="001345A3">
              <w:t>32/0</w:t>
            </w:r>
          </w:p>
        </w:tc>
        <w:tc>
          <w:tcPr>
            <w:tcW w:w="1404" w:type="dxa"/>
          </w:tcPr>
          <w:p w:rsidR="001345A3" w:rsidRPr="001345A3" w:rsidRDefault="001345A3" w:rsidP="00ED3705">
            <w:r w:rsidRPr="001345A3">
              <w:t>21/1</w:t>
            </w:r>
          </w:p>
        </w:tc>
        <w:tc>
          <w:tcPr>
            <w:tcW w:w="1405" w:type="dxa"/>
          </w:tcPr>
          <w:p w:rsidR="001345A3" w:rsidRPr="001345A3" w:rsidRDefault="001345A3" w:rsidP="00ED3705">
            <w:r w:rsidRPr="001345A3">
              <w:t>12/0</w:t>
            </w:r>
          </w:p>
        </w:tc>
        <w:tc>
          <w:tcPr>
            <w:tcW w:w="1405" w:type="dxa"/>
          </w:tcPr>
          <w:p w:rsidR="001345A3" w:rsidRPr="001345A3" w:rsidRDefault="001345A3" w:rsidP="00ED3705">
            <w:r w:rsidRPr="001345A3">
              <w:t>12/0</w:t>
            </w:r>
          </w:p>
        </w:tc>
        <w:tc>
          <w:tcPr>
            <w:tcW w:w="1406" w:type="dxa"/>
          </w:tcPr>
          <w:p w:rsidR="001345A3" w:rsidRPr="001345A3" w:rsidRDefault="001345A3" w:rsidP="00ED3705">
            <w:r w:rsidRPr="001345A3">
              <w:t>13/0</w:t>
            </w:r>
          </w:p>
        </w:tc>
      </w:tr>
      <w:tr w:rsidR="001345A3" w:rsidRPr="001345A3" w:rsidTr="001345A3">
        <w:tc>
          <w:tcPr>
            <w:tcW w:w="2269" w:type="dxa"/>
          </w:tcPr>
          <w:p w:rsidR="001345A3" w:rsidRPr="001345A3" w:rsidRDefault="001345A3" w:rsidP="00ED3705">
            <w:r w:rsidRPr="001345A3">
              <w:t>Паразитологические</w:t>
            </w:r>
          </w:p>
        </w:tc>
        <w:tc>
          <w:tcPr>
            <w:tcW w:w="1682" w:type="dxa"/>
          </w:tcPr>
          <w:p w:rsidR="001345A3" w:rsidRPr="001345A3" w:rsidRDefault="001345A3" w:rsidP="00ED3705">
            <w:r w:rsidRPr="001345A3">
              <w:t>-</w:t>
            </w:r>
          </w:p>
        </w:tc>
        <w:tc>
          <w:tcPr>
            <w:tcW w:w="1404" w:type="dxa"/>
          </w:tcPr>
          <w:p w:rsidR="001345A3" w:rsidRPr="001345A3" w:rsidRDefault="001345A3" w:rsidP="00ED3705">
            <w:r w:rsidRPr="001345A3">
              <w:t>12/0</w:t>
            </w:r>
          </w:p>
        </w:tc>
        <w:tc>
          <w:tcPr>
            <w:tcW w:w="1405" w:type="dxa"/>
          </w:tcPr>
          <w:p w:rsidR="001345A3" w:rsidRPr="001345A3" w:rsidRDefault="001345A3" w:rsidP="00ED3705">
            <w:r w:rsidRPr="001345A3">
              <w:t>13/0</w:t>
            </w:r>
          </w:p>
        </w:tc>
        <w:tc>
          <w:tcPr>
            <w:tcW w:w="1405" w:type="dxa"/>
          </w:tcPr>
          <w:p w:rsidR="001345A3" w:rsidRPr="001345A3" w:rsidRDefault="001345A3" w:rsidP="00ED3705">
            <w:r w:rsidRPr="001345A3">
              <w:t>10/0</w:t>
            </w:r>
          </w:p>
        </w:tc>
        <w:tc>
          <w:tcPr>
            <w:tcW w:w="1406" w:type="dxa"/>
          </w:tcPr>
          <w:p w:rsidR="001345A3" w:rsidRPr="001345A3" w:rsidRDefault="001345A3" w:rsidP="00ED3705">
            <w:r w:rsidRPr="001345A3">
              <w:t>8/0</w:t>
            </w:r>
          </w:p>
        </w:tc>
      </w:tr>
      <w:tr w:rsidR="001345A3" w:rsidRPr="001345A3" w:rsidTr="001345A3">
        <w:tc>
          <w:tcPr>
            <w:tcW w:w="2269" w:type="dxa"/>
          </w:tcPr>
          <w:p w:rsidR="001345A3" w:rsidRPr="001345A3" w:rsidRDefault="001345A3" w:rsidP="00ED3705">
            <w:r w:rsidRPr="001345A3">
              <w:t>Санитарно-химические</w:t>
            </w:r>
          </w:p>
        </w:tc>
        <w:tc>
          <w:tcPr>
            <w:tcW w:w="1682" w:type="dxa"/>
          </w:tcPr>
          <w:p w:rsidR="001345A3" w:rsidRPr="001345A3" w:rsidRDefault="001345A3" w:rsidP="00ED3705">
            <w:r w:rsidRPr="001345A3">
              <w:t>-</w:t>
            </w:r>
          </w:p>
        </w:tc>
        <w:tc>
          <w:tcPr>
            <w:tcW w:w="1404" w:type="dxa"/>
          </w:tcPr>
          <w:p w:rsidR="001345A3" w:rsidRPr="001345A3" w:rsidRDefault="001345A3" w:rsidP="00ED3705">
            <w:r w:rsidRPr="001345A3">
              <w:t>-</w:t>
            </w:r>
          </w:p>
        </w:tc>
        <w:tc>
          <w:tcPr>
            <w:tcW w:w="1405" w:type="dxa"/>
          </w:tcPr>
          <w:p w:rsidR="001345A3" w:rsidRPr="001345A3" w:rsidRDefault="001345A3" w:rsidP="00ED3705">
            <w:r w:rsidRPr="001345A3">
              <w:t>-</w:t>
            </w:r>
          </w:p>
        </w:tc>
        <w:tc>
          <w:tcPr>
            <w:tcW w:w="1405" w:type="dxa"/>
          </w:tcPr>
          <w:p w:rsidR="001345A3" w:rsidRPr="001345A3" w:rsidRDefault="001345A3" w:rsidP="00ED3705">
            <w:r w:rsidRPr="001345A3">
              <w:t>8/8</w:t>
            </w:r>
          </w:p>
        </w:tc>
        <w:tc>
          <w:tcPr>
            <w:tcW w:w="1406" w:type="dxa"/>
          </w:tcPr>
          <w:p w:rsidR="001345A3" w:rsidRPr="001345A3" w:rsidRDefault="001345A3" w:rsidP="00ED3705">
            <w:r w:rsidRPr="001345A3">
              <w:t>8/8</w:t>
            </w:r>
          </w:p>
        </w:tc>
      </w:tr>
    </w:tbl>
    <w:p w:rsidR="00154B8C" w:rsidRDefault="00154B8C" w:rsidP="00154B8C">
      <w:r>
        <w:t>На территории района находится более 300 озер и малая река Карапуз, которые в разной степени испытывают антропогенную и техногенную нагрузку. Основные проблемы обеспечения санитарной охраны реки Карапуз обусловлены выходом реки из русла во время паводка, на качество воды озер влияет выпас, водопой скота, а также эксплуатация маломерных рыболовных судов.</w:t>
      </w:r>
    </w:p>
    <w:p w:rsidR="00154B8C" w:rsidRDefault="00154B8C" w:rsidP="00154B8C">
      <w:r>
        <w:t>В течение многих лет остается неразрешенной ситуация с обращением отходов - на территории района отсутствует полигон размещения твердых коммунальных отходов, ежегодно образуются новые несанкционированные свалки, особо острая ситуация сложилась в г. Барабинске и массовых местах отдыха на берегах озер.</w:t>
      </w:r>
    </w:p>
    <w:p w:rsidR="00154B8C" w:rsidRDefault="00154B8C" w:rsidP="00154B8C">
      <w:r>
        <w:t>Отмечается рост количества несанкционированных свалок, скотомогильников, отсутствует система раздельного сбора твёрдых коммунальных отходов, недостаточна доля использования отходов для вторичной переработки. Объекты размещения отходов не отвечают современным экологическим требованиям к их обустройству и эксплуатации, что иногда приводит к самовозгоранию отходов, загрязнению поверхностных и грунтовых вод.</w:t>
      </w:r>
    </w:p>
    <w:p w:rsidR="00154B8C" w:rsidRDefault="00154B8C" w:rsidP="00154B8C">
      <w:r>
        <w:t>В настоящее время несанкционированные места размещения отходов ликвидируется за счёт средств местных бюджетов, которых, к сожалению недостаточно. Количество ликвидированных в 2013-2018гг. несанкционированных свалок представлено в таблице.</w:t>
      </w:r>
    </w:p>
    <w:tbl>
      <w:tblPr>
        <w:tblStyle w:val="a3"/>
        <w:tblW w:w="0" w:type="auto"/>
        <w:tblLook w:val="04A0"/>
      </w:tblPr>
      <w:tblGrid>
        <w:gridCol w:w="1936"/>
        <w:gridCol w:w="1273"/>
        <w:gridCol w:w="1272"/>
        <w:gridCol w:w="1272"/>
        <w:gridCol w:w="1272"/>
        <w:gridCol w:w="1273"/>
        <w:gridCol w:w="1273"/>
      </w:tblGrid>
      <w:tr w:rsidR="001345A3" w:rsidRPr="001345A3" w:rsidTr="001345A3">
        <w:tc>
          <w:tcPr>
            <w:tcW w:w="1367" w:type="dxa"/>
          </w:tcPr>
          <w:p w:rsidR="001345A3" w:rsidRPr="001345A3" w:rsidRDefault="001345A3" w:rsidP="00CC5EE5">
            <w:r w:rsidRPr="001345A3">
              <w:t>Год</w:t>
            </w:r>
          </w:p>
        </w:tc>
        <w:tc>
          <w:tcPr>
            <w:tcW w:w="1367" w:type="dxa"/>
          </w:tcPr>
          <w:p w:rsidR="001345A3" w:rsidRPr="001345A3" w:rsidRDefault="001345A3" w:rsidP="00CC5EE5">
            <w:r w:rsidRPr="001345A3">
              <w:t>2013</w:t>
            </w:r>
          </w:p>
        </w:tc>
        <w:tc>
          <w:tcPr>
            <w:tcW w:w="1367" w:type="dxa"/>
          </w:tcPr>
          <w:p w:rsidR="001345A3" w:rsidRPr="001345A3" w:rsidRDefault="001345A3" w:rsidP="00CC5EE5">
            <w:r w:rsidRPr="001345A3">
              <w:t>2014</w:t>
            </w:r>
          </w:p>
        </w:tc>
        <w:tc>
          <w:tcPr>
            <w:tcW w:w="1367" w:type="dxa"/>
          </w:tcPr>
          <w:p w:rsidR="001345A3" w:rsidRPr="001345A3" w:rsidRDefault="001345A3" w:rsidP="00CC5EE5">
            <w:r w:rsidRPr="001345A3">
              <w:t>2015</w:t>
            </w:r>
          </w:p>
        </w:tc>
        <w:tc>
          <w:tcPr>
            <w:tcW w:w="1367" w:type="dxa"/>
          </w:tcPr>
          <w:p w:rsidR="001345A3" w:rsidRPr="001345A3" w:rsidRDefault="001345A3" w:rsidP="00CC5EE5">
            <w:r w:rsidRPr="001345A3">
              <w:t>2016</w:t>
            </w:r>
          </w:p>
        </w:tc>
        <w:tc>
          <w:tcPr>
            <w:tcW w:w="1368" w:type="dxa"/>
          </w:tcPr>
          <w:p w:rsidR="001345A3" w:rsidRPr="001345A3" w:rsidRDefault="001345A3" w:rsidP="00CC5EE5">
            <w:r w:rsidRPr="001345A3">
              <w:t>2017</w:t>
            </w:r>
          </w:p>
        </w:tc>
        <w:tc>
          <w:tcPr>
            <w:tcW w:w="1368" w:type="dxa"/>
          </w:tcPr>
          <w:p w:rsidR="001345A3" w:rsidRPr="001345A3" w:rsidRDefault="001345A3" w:rsidP="00CC5EE5">
            <w:r w:rsidRPr="001345A3">
              <w:t xml:space="preserve">2018 </w:t>
            </w:r>
          </w:p>
        </w:tc>
      </w:tr>
      <w:tr w:rsidR="001345A3" w:rsidRPr="001345A3" w:rsidTr="001345A3">
        <w:tc>
          <w:tcPr>
            <w:tcW w:w="1367" w:type="dxa"/>
          </w:tcPr>
          <w:p w:rsidR="001345A3" w:rsidRPr="001345A3" w:rsidRDefault="001345A3" w:rsidP="00CC5EE5">
            <w:r w:rsidRPr="001345A3">
              <w:t>Кол-во ликвидированных свалок</w:t>
            </w:r>
          </w:p>
        </w:tc>
        <w:tc>
          <w:tcPr>
            <w:tcW w:w="1367" w:type="dxa"/>
          </w:tcPr>
          <w:p w:rsidR="001345A3" w:rsidRPr="001345A3" w:rsidRDefault="001345A3" w:rsidP="00CC5EE5">
            <w:r w:rsidRPr="001345A3">
              <w:t>3</w:t>
            </w:r>
          </w:p>
        </w:tc>
        <w:tc>
          <w:tcPr>
            <w:tcW w:w="1367" w:type="dxa"/>
          </w:tcPr>
          <w:p w:rsidR="001345A3" w:rsidRPr="001345A3" w:rsidRDefault="001345A3" w:rsidP="00CC5EE5">
            <w:r w:rsidRPr="001345A3">
              <w:t>3</w:t>
            </w:r>
          </w:p>
        </w:tc>
        <w:tc>
          <w:tcPr>
            <w:tcW w:w="1367" w:type="dxa"/>
          </w:tcPr>
          <w:p w:rsidR="001345A3" w:rsidRPr="001345A3" w:rsidRDefault="001345A3" w:rsidP="00CC5EE5">
            <w:r w:rsidRPr="001345A3">
              <w:t>11</w:t>
            </w:r>
          </w:p>
        </w:tc>
        <w:tc>
          <w:tcPr>
            <w:tcW w:w="1367" w:type="dxa"/>
          </w:tcPr>
          <w:p w:rsidR="001345A3" w:rsidRPr="001345A3" w:rsidRDefault="001345A3" w:rsidP="00CC5EE5">
            <w:r w:rsidRPr="001345A3">
              <w:t>12</w:t>
            </w:r>
          </w:p>
        </w:tc>
        <w:tc>
          <w:tcPr>
            <w:tcW w:w="1368" w:type="dxa"/>
          </w:tcPr>
          <w:p w:rsidR="001345A3" w:rsidRPr="001345A3" w:rsidRDefault="001345A3" w:rsidP="00CC5EE5">
            <w:r w:rsidRPr="001345A3">
              <w:t>32</w:t>
            </w:r>
          </w:p>
        </w:tc>
        <w:tc>
          <w:tcPr>
            <w:tcW w:w="1368" w:type="dxa"/>
          </w:tcPr>
          <w:p w:rsidR="001345A3" w:rsidRPr="001345A3" w:rsidRDefault="001345A3" w:rsidP="00CC5EE5">
            <w:r w:rsidRPr="001345A3">
              <w:t>36</w:t>
            </w:r>
          </w:p>
        </w:tc>
      </w:tr>
    </w:tbl>
    <w:p w:rsidR="00154B8C" w:rsidRDefault="00154B8C" w:rsidP="00154B8C">
      <w:r>
        <w:t>С 2018 года на территории Барабинского района реализуются мероприятия  Плана по экологическому просвещению и мотивации населения к деятельности по раздельному сбору твердых коммунальных отходов.</w:t>
      </w:r>
    </w:p>
    <w:p w:rsidR="00154B8C" w:rsidRDefault="00154B8C" w:rsidP="00154B8C">
      <w:r>
        <w:t>С целью уменьшения воздействия опасных отходов в 2018 году во все муниципальные образования Барабинского района были приобретены контейнеры для сбора опасных отходов (ртутьсодержащих ламп, батареек). В дальнейшем планируется сбор опасных отходов с населения и вывоз с целью обезвреживания и утилизации не реже одного раза в 11 месяцев.</w:t>
      </w:r>
    </w:p>
    <w:p w:rsidR="00154B8C" w:rsidRDefault="00154B8C" w:rsidP="00154B8C">
      <w:r>
        <w:lastRenderedPageBreak/>
        <w:t xml:space="preserve">Администрацией Барабинского района в течение нескольких лет оказывается финансовая поддержка Барабинскому отделу государственного контроля, надзора и охраны биоресурсов и среды их обитания, в 2018 году было выделено 49987 рублей на проведение оперативных рейдов по охране водных биоресурсов с целью пресечения браконьерства и нанесения ущерба водным биоресурсам района. Администрацией Барабинского района был создан сводный реестр водных объектов, в том числе для промышленного и товарного рыбоводства, ведется работа с населением, оповещение о свободных рыбопромысловых участках. </w:t>
      </w:r>
    </w:p>
    <w:p w:rsidR="00154B8C" w:rsidRDefault="00154B8C" w:rsidP="00154B8C">
      <w:r>
        <w:t xml:space="preserve">Барабинский район богат особо охраняемыми природными территориями (далее - ООПТ):  Государственный природный заказник федерального значения «Кирзинский», памятник природы регионального значения «Казанцевский мыс», памятник природы регионального значения «Полуостров Сугун озера Тандово». </w:t>
      </w:r>
    </w:p>
    <w:p w:rsidR="00154B8C" w:rsidRDefault="00154B8C" w:rsidP="00154B8C">
      <w:r>
        <w:t xml:space="preserve">ГПЗФЗ «Кирзинский» был создан 11.04.1958. Расположен заказник в центральной части Барабинской лесостепи, на территории Барабинского и Чановского районов Новосибирской области. Общая площадь составляет 119,8 тыс. га. На территории заказника располагается около 50 озер. </w:t>
      </w:r>
      <w:proofErr w:type="gramStart"/>
      <w:r>
        <w:t>В заказнике обитают ценные промысловые животные, такие как лось, косуля, лисица, корсак, зайцы беляк и русак, барсук, колонок, горностай, ондатра, рысь.</w:t>
      </w:r>
      <w:proofErr w:type="gramEnd"/>
      <w:r>
        <w:t xml:space="preserve"> Здесь находятся места массового гнездования водоплавающих и околоводных птиц: тетерев, серая и белая куропатки, гуси – белолобый, гуменник, серый. На территории заказника распространены редкие виды птиц: </w:t>
      </w:r>
      <w:proofErr w:type="gramStart"/>
      <w:r>
        <w:t>орлан-белохвост</w:t>
      </w:r>
      <w:proofErr w:type="gramEnd"/>
      <w:r>
        <w:t>, скопа, шилоклювка, савка, черноголовый хохотун. Среди редких видов растений, произрастающих на территории заказника, выделяются ковыль Залесского и наяда большая.</w:t>
      </w:r>
    </w:p>
    <w:p w:rsidR="00154B8C" w:rsidRDefault="00154B8C" w:rsidP="00154B8C">
      <w:r>
        <w:t xml:space="preserve">С 2010 года активно ведется работа по защите и восстановлению флоры и фауны Кирзинского заказника, успешно реализуется комплексная биотехническая программа. При помощи собственной техники заказника созданы крупные кормовые поля, которые способствуют увеличению численности представителей животного мира заказника. На данный момент посещение и размещение объектов на территории памятников природы без особого согласования запрещено. Туристическая инфраструктура на их территории развита слабо. </w:t>
      </w:r>
    </w:p>
    <w:p w:rsidR="00154B8C" w:rsidRDefault="00154B8C" w:rsidP="00154B8C">
      <w:r>
        <w:t>В последние годы прослеживается устойчивая тенденция к увеличению антропогенной нагрузки на окружающую природную среду Барабинского района, в связи с этим необходимо уделять особое внимание обеспечению рационального природопользования как основы экологической безопасности, высоких стандартов экологического благополучия.</w:t>
      </w:r>
    </w:p>
    <w:p w:rsidR="005B0EFD" w:rsidRDefault="005B0EFD" w:rsidP="00154B8C">
      <w:pPr>
        <w:rPr>
          <w:b/>
          <w:sz w:val="28"/>
          <w:szCs w:val="28"/>
        </w:rPr>
      </w:pPr>
      <w:r w:rsidRPr="005B0EFD">
        <w:rPr>
          <w:b/>
          <w:sz w:val="28"/>
          <w:szCs w:val="28"/>
        </w:rPr>
        <w:t xml:space="preserve">Информация из государственного доклада «О состоянии и об охране окружающей среды </w:t>
      </w:r>
      <w:r>
        <w:rPr>
          <w:b/>
          <w:sz w:val="28"/>
          <w:szCs w:val="28"/>
        </w:rPr>
        <w:t>Н</w:t>
      </w:r>
      <w:r w:rsidRPr="005B0EFD">
        <w:rPr>
          <w:b/>
          <w:sz w:val="28"/>
          <w:szCs w:val="28"/>
        </w:rPr>
        <w:t>овосибирской области в 2020 году»</w:t>
      </w:r>
    </w:p>
    <w:p w:rsidR="005B0EFD" w:rsidRPr="005B0EFD" w:rsidRDefault="005B0EFD" w:rsidP="005B0EFD">
      <w:pPr>
        <w:widowControl w:val="0"/>
        <w:spacing w:after="0" w:line="247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уровня выбросов отмечено в Северном районе – в 5,7 раз, в Тогучинском районе – в 2 раза, в Барабинском районе – на 41,9 %, в Сузунском районе – на 37,6 %, в Кыштовском районе – </w:t>
      </w:r>
      <w:proofErr w:type="gramStart"/>
      <w:r w:rsidRPr="005B0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B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17,9 %, в городе Искитиме – на 17,2 %.</w:t>
      </w:r>
    </w:p>
    <w:p w:rsidR="005B0EFD" w:rsidRPr="005B0EFD" w:rsidRDefault="005B0EFD" w:rsidP="005B0E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5B0E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Плотность радиоактивных выпадений из приземной атмосферы, Бк/м</w:t>
      </w:r>
      <w:proofErr w:type="gramStart"/>
      <w:r w:rsidRPr="005B0EF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proofErr w:type="gramEnd"/>
    </w:p>
    <w:p w:rsidR="005B0EFD" w:rsidRPr="005B0EFD" w:rsidRDefault="005B0EFD" w:rsidP="005B0E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5"/>
        <w:gridCol w:w="6"/>
        <w:gridCol w:w="1269"/>
        <w:gridCol w:w="992"/>
        <w:gridCol w:w="993"/>
        <w:gridCol w:w="1274"/>
        <w:gridCol w:w="1133"/>
        <w:gridCol w:w="993"/>
        <w:gridCol w:w="997"/>
        <w:gridCol w:w="713"/>
      </w:tblGrid>
      <w:tr w:rsidR="005B0EFD" w:rsidRPr="005B0EFD" w:rsidTr="005B0EFD">
        <w:tc>
          <w:tcPr>
            <w:tcW w:w="1695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№ Контрольной точки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Сумма бета-активных веществ (Σβ) Бк/м</w:t>
            </w:r>
            <w:proofErr w:type="gramStart"/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∙год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опреде-лений</w:t>
            </w:r>
            <w:proofErr w:type="gramEnd"/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Σβ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Среднее, Бк/м</w:t>
            </w:r>
            <w:proofErr w:type="gramStart"/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br/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сутки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Максимум, Бк/м</w:t>
            </w:r>
            <w:proofErr w:type="gramStart"/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.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сутки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Радиону-клид (</w:t>
            </w:r>
            <w:proofErr w:type="gramStart"/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/н)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опреде-лений </w:t>
            </w:r>
            <w:proofErr w:type="gramStart"/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997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Среднее</w:t>
            </w:r>
            <w:proofErr w:type="gramStart"/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,Б</w:t>
            </w:r>
            <w:proofErr w:type="gramEnd"/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к/м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BE3AB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Максимум, Бк/м</w:t>
            </w:r>
            <w:proofErr w:type="gramStart"/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5B0EFD" w:rsidRPr="005B0EFD" w:rsidTr="005B0EFD">
        <w:tc>
          <w:tcPr>
            <w:tcW w:w="10065" w:type="dxa"/>
            <w:gridSpan w:val="10"/>
            <w:shd w:val="clear" w:color="auto" w:fill="DDF6FB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</w:tr>
      <w:tr w:rsidR="005B0EFD" w:rsidRPr="005B0EFD" w:rsidTr="005B0EFD">
        <w:tc>
          <w:tcPr>
            <w:tcW w:w="1695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1. АЭ Барабинск</w:t>
            </w:r>
          </w:p>
        </w:tc>
        <w:tc>
          <w:tcPr>
            <w:tcW w:w="1275" w:type="dxa"/>
            <w:gridSpan w:val="2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420,1</w:t>
            </w:r>
          </w:p>
        </w:tc>
        <w:tc>
          <w:tcPr>
            <w:tcW w:w="992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99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274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113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7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Ве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40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137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Cs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lastRenderedPageBreak/>
              <w:t>90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99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7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106,6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21,2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0,37</w:t>
            </w:r>
          </w:p>
        </w:tc>
        <w:tc>
          <w:tcPr>
            <w:tcW w:w="71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368,5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126,8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0,45</w:t>
            </w:r>
          </w:p>
        </w:tc>
      </w:tr>
      <w:tr w:rsidR="005B0EFD" w:rsidRPr="005B0EFD" w:rsidTr="005B0EFD">
        <w:tc>
          <w:tcPr>
            <w:tcW w:w="10065" w:type="dxa"/>
            <w:gridSpan w:val="10"/>
            <w:shd w:val="clear" w:color="auto" w:fill="DDF6FB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2017</w:t>
            </w:r>
          </w:p>
        </w:tc>
      </w:tr>
      <w:tr w:rsidR="005B0EFD" w:rsidRPr="005B0EFD" w:rsidTr="005B0EFD">
        <w:tc>
          <w:tcPr>
            <w:tcW w:w="1695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1. АЭ Барабинск</w:t>
            </w:r>
          </w:p>
        </w:tc>
        <w:tc>
          <w:tcPr>
            <w:tcW w:w="1275" w:type="dxa"/>
            <w:gridSpan w:val="2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992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274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113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7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Ве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40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137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Cs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90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99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71,09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15,04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71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135,1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39,07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0,96</w:t>
            </w:r>
          </w:p>
        </w:tc>
      </w:tr>
      <w:tr w:rsidR="005B0EFD" w:rsidRPr="005B0EFD" w:rsidTr="005B0EFD">
        <w:tc>
          <w:tcPr>
            <w:tcW w:w="10065" w:type="dxa"/>
            <w:gridSpan w:val="10"/>
            <w:shd w:val="clear" w:color="auto" w:fill="DDF6FB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</w:tr>
      <w:tr w:rsidR="005B0EFD" w:rsidRPr="005B0EFD" w:rsidTr="005B0EFD">
        <w:tc>
          <w:tcPr>
            <w:tcW w:w="1695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1. АЭ Барабинск</w:t>
            </w:r>
          </w:p>
        </w:tc>
        <w:tc>
          <w:tcPr>
            <w:tcW w:w="1275" w:type="dxa"/>
            <w:gridSpan w:val="2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992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274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113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7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Ве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40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137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Cs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90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99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111,5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16,09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1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320,1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20,57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0,20</w:t>
            </w:r>
          </w:p>
        </w:tc>
      </w:tr>
      <w:tr w:rsidR="005B0EFD" w:rsidRPr="005B0EFD" w:rsidTr="005B0EFD">
        <w:tc>
          <w:tcPr>
            <w:tcW w:w="10065" w:type="dxa"/>
            <w:gridSpan w:val="10"/>
            <w:shd w:val="clear" w:color="auto" w:fill="DDF6FB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</w:tr>
      <w:tr w:rsidR="005B0EFD" w:rsidRPr="005B0EFD" w:rsidTr="001345A3">
        <w:tc>
          <w:tcPr>
            <w:tcW w:w="1701" w:type="dxa"/>
            <w:gridSpan w:val="2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1. АЭ Барабинск</w:t>
            </w:r>
          </w:p>
        </w:tc>
        <w:tc>
          <w:tcPr>
            <w:tcW w:w="1269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368,65</w:t>
            </w:r>
          </w:p>
        </w:tc>
        <w:tc>
          <w:tcPr>
            <w:tcW w:w="992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274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5,19</w:t>
            </w:r>
          </w:p>
        </w:tc>
        <w:tc>
          <w:tcPr>
            <w:tcW w:w="113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7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Ве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40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137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Cs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90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99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183,8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31,7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0,34</w:t>
            </w:r>
          </w:p>
        </w:tc>
      </w:tr>
      <w:tr w:rsidR="005B0EFD" w:rsidRPr="005B0EFD" w:rsidTr="005B0EFD">
        <w:tc>
          <w:tcPr>
            <w:tcW w:w="10065" w:type="dxa"/>
            <w:gridSpan w:val="10"/>
            <w:shd w:val="clear" w:color="auto" w:fill="DDF6FB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</w:tr>
      <w:tr w:rsidR="005B0EFD" w:rsidRPr="005B0EFD" w:rsidTr="005B0EFD">
        <w:tc>
          <w:tcPr>
            <w:tcW w:w="1695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1. АЭ Барабинск</w:t>
            </w:r>
          </w:p>
        </w:tc>
        <w:tc>
          <w:tcPr>
            <w:tcW w:w="1275" w:type="dxa"/>
            <w:gridSpan w:val="2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992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99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274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113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7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Ве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40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137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Cs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90</w:t>
            </w:r>
            <w:r w:rsidRPr="005B0EF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99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302,4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55,5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13" w:type="dxa"/>
            <w:vAlign w:val="center"/>
          </w:tcPr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469,8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78,3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5B0EFD" w:rsidRPr="005B0EFD" w:rsidRDefault="005B0EFD" w:rsidP="005B0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EFD">
              <w:rPr>
                <w:rFonts w:ascii="Times New Roman" w:eastAsia="Calibri" w:hAnsi="Times New Roman" w:cs="Times New Roman"/>
                <w:sz w:val="20"/>
                <w:szCs w:val="20"/>
              </w:rPr>
              <w:t>0,24</w:t>
            </w:r>
          </w:p>
        </w:tc>
      </w:tr>
    </w:tbl>
    <w:p w:rsidR="005B0EFD" w:rsidRDefault="005B0EFD" w:rsidP="00154B8C">
      <w:pPr>
        <w:rPr>
          <w:b/>
          <w:sz w:val="28"/>
          <w:szCs w:val="28"/>
        </w:rPr>
      </w:pPr>
    </w:p>
    <w:p w:rsidR="005B0EFD" w:rsidRPr="005B0EFD" w:rsidRDefault="005B0EFD" w:rsidP="005B0EFD">
      <w:pPr>
        <w:widowControl w:val="0"/>
        <w:spacing w:after="0" w:line="247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Среднегодовая температура воздуха на территории Новосибирской области в 2020 году составила +3,2…4,7 </w:t>
      </w:r>
      <w:r w:rsidRPr="005B0E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5B0EFD">
        <w:rPr>
          <w:rFonts w:ascii="Times New Roman" w:eastAsia="Times New Roman" w:hAnsi="Times New Roman" w:cs="Times New Roman"/>
          <w:sz w:val="24"/>
          <w:szCs w:val="24"/>
          <w:lang w:eastAsia="ru-RU"/>
        </w:rPr>
        <w:t>С, что на 2,6</w:t>
      </w:r>
      <w:r w:rsidRPr="005B0EF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3,6 </w:t>
      </w:r>
      <w:r w:rsidRPr="005B0E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5B0E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выше нормы.</w:t>
      </w:r>
    </w:p>
    <w:p w:rsidR="005B0EFD" w:rsidRPr="005B0EFD" w:rsidRDefault="005B0EFD" w:rsidP="005B0EFD">
      <w:pPr>
        <w:widowControl w:val="0"/>
        <w:spacing w:after="0" w:line="247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Прошедший год стал самым теплым за период с 1966 по 2020 годы. В течение девяти месяцев температура превышала среднемноголетние значения, причем с января по май включительно непрерывно отмечалась экстремально высокая положительная аномалия, 4,3</w:t>
      </w:r>
      <w:r w:rsidRPr="005B0EF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9 </w:t>
      </w:r>
      <w:r w:rsidRPr="005B0E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5B0EF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F64A31" w:rsidRDefault="00F64A31" w:rsidP="00A70D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8F" w:rsidRPr="00A70D8F" w:rsidRDefault="00A70D8F" w:rsidP="00A70D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государственного лесопатологического мониторинга </w:t>
      </w:r>
      <w:proofErr w:type="gramStart"/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общая площадь очагов вредных организмов и болезней леса </w:t>
      </w:r>
      <w:r w:rsidR="00F6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НСО </w:t>
      </w: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88 831,4 га, в том числе:</w:t>
      </w:r>
    </w:p>
    <w:p w:rsidR="00A70D8F" w:rsidRPr="00A70D8F" w:rsidRDefault="00A70D8F" w:rsidP="00A70D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очаги шелкопряда непарного на общей площади 81 954,5</w:t>
      </w:r>
      <w:r w:rsidRPr="00A7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га: площадь, требующая мер борьбы, составила 49 281,5 га, в том числе на территории Барабинского, Венгеровского, Здвинского, Карасукского, Краснозерского, Куйбышевского, Купинского, Северного, </w:t>
      </w:r>
      <w:proofErr w:type="gramStart"/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Татар-ского</w:t>
      </w:r>
      <w:proofErr w:type="gramEnd"/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Чановского лесничеств Новосибирской области;</w:t>
      </w:r>
    </w:p>
    <w:p w:rsidR="00A70D8F" w:rsidRPr="00A70D8F" w:rsidRDefault="00A70D8F" w:rsidP="00A70D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прочие очаги (очаги трутовика </w:t>
      </w:r>
      <w:proofErr w:type="gramStart"/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настоя-щего</w:t>
      </w:r>
      <w:proofErr w:type="gramEnd"/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очаги трутовика ложного, очаги бакте-риальных заболеваний березы и т.д.) на общей площади 4506 га: площадь, требующая мер борьбы, составила 1113,4 га, в том числе на территории Барабинского, Болотнинского, Здвинского, Карасукского, Каргатского, Коче-невского, Куйбышевского, Купинского, Новоси-бирского, Ордынского, Сузунского, Татарского, Убинского и Чановского лесничеств.</w:t>
      </w:r>
    </w:p>
    <w:p w:rsidR="00A70D8F" w:rsidRDefault="00A70D8F" w:rsidP="00A70D8F">
      <w:pPr>
        <w:rPr>
          <w:b/>
          <w:sz w:val="28"/>
          <w:szCs w:val="28"/>
        </w:rPr>
      </w:pPr>
      <w:r w:rsidRPr="00A70D8F">
        <w:rPr>
          <w:b/>
          <w:sz w:val="28"/>
          <w:szCs w:val="28"/>
        </w:rPr>
        <w:t>Заболеваемость взрослого населения в возрасте 18 лет и старше</w:t>
      </w:r>
    </w:p>
    <w:p w:rsidR="00A70D8F" w:rsidRPr="00A70D8F" w:rsidRDefault="00A70D8F" w:rsidP="00A70D8F">
      <w:pPr>
        <w:widowControl w:val="0"/>
        <w:spacing w:after="0" w:line="247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имеющихся данных федерального информационного фонда данных социально-гигиенического мониторинга, за 2017</w:t>
      </w: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2020 годы были выявлены классы болезней, которые являются приоритетными для Новосибирской области.</w:t>
      </w:r>
    </w:p>
    <w:p w:rsidR="00A70D8F" w:rsidRPr="00A70D8F" w:rsidRDefault="00A70D8F" w:rsidP="00A70D8F">
      <w:pPr>
        <w:widowControl w:val="0"/>
        <w:spacing w:after="0" w:line="247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бронхитом хроническим и неуточненным – 1,5 на 1000 населения. К территориям выше среднеобластного показателя относятся</w:t>
      </w:r>
      <w:r w:rsidR="0068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районов, в том числе Барабинский (3,3)</w:t>
      </w: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847" w:rsidRDefault="00A70D8F" w:rsidP="00A70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ишемической болезнью сердца (5,5 на 1000 населения) – к территориям выше среднеобластного показателя относятся 23 терр</w:t>
      </w:r>
      <w:r w:rsidR="0068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итории, </w:t>
      </w:r>
      <w:r w:rsidR="00F64A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8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</w:t>
      </w: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Барабинский </w:t>
      </w:r>
      <w:r w:rsidR="00685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(6,6).</w:t>
      </w:r>
    </w:p>
    <w:p w:rsidR="00A70D8F" w:rsidRPr="00A70D8F" w:rsidRDefault="00A70D8F" w:rsidP="00A70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гастритами (5,3 на 1000 населения). К территориям выше среднеобласт-ного показателя относятся 16 терр</w:t>
      </w:r>
      <w:r w:rsidR="0068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иторий, в том числе </w:t>
      </w: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Барабинский</w:t>
      </w:r>
      <w:r w:rsidR="0068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(11,7),</w:t>
      </w:r>
      <w:r w:rsidRPr="00A70D8F">
        <w:t xml:space="preserve"> </w:t>
      </w: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Заболеваемость анемией в подростковом возрасте (3,5 на 1000 населения). К территориям выше среднеобластного показателя относятся 20 территорий: </w:t>
      </w:r>
      <w:r w:rsidR="00F64A31" w:rsidRPr="00F6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Барабинский </w:t>
      </w:r>
      <w:r w:rsidR="00F6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</w:t>
      </w: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(5,4)</w:t>
      </w:r>
      <w:r w:rsidR="00F64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D8F" w:rsidRDefault="00A70D8F" w:rsidP="00A70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ожирением (показатель 9,8 на 1000 населения). К территориям выше среднеобластного пока</w:t>
      </w:r>
      <w:r w:rsidR="00F6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зателя относятся 12 территорий, 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Барабинский </w:t>
      </w:r>
      <w:r w:rsidR="00F6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(37,3)</w:t>
      </w:r>
      <w:r w:rsidR="00F64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C43" w:rsidRDefault="00A70D8F" w:rsidP="00A70D8F">
      <w:pPr>
        <w:rPr>
          <w:b/>
        </w:rPr>
      </w:pPr>
      <w:r w:rsidRPr="009C241A">
        <w:rPr>
          <w:b/>
        </w:rPr>
        <w:t>Заболеваемость детей</w:t>
      </w:r>
      <w:r w:rsidR="00D74C43">
        <w:rPr>
          <w:b/>
        </w:rPr>
        <w:t xml:space="preserve"> </w:t>
      </w:r>
    </w:p>
    <w:p w:rsidR="00D74C43" w:rsidRDefault="00A70D8F" w:rsidP="00A70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Астма, астматический статус, болезни органов дыхания (2 на 1000 населения</w:t>
      </w:r>
      <w:r w:rsidR="00D74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НСО</w:t>
      </w: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 территориям выше среднеобластного </w:t>
      </w:r>
      <w:proofErr w:type="gramStart"/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показа-теля</w:t>
      </w:r>
      <w:proofErr w:type="gramEnd"/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13 территорий: </w:t>
      </w:r>
      <w:r w:rsidR="00D74C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Барабинский </w:t>
      </w:r>
      <w:r w:rsidR="00D74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район(2,5).</w:t>
      </w:r>
    </w:p>
    <w:p w:rsidR="00A70D8F" w:rsidRDefault="00A70D8F" w:rsidP="00A70D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крови и кроветворных органов – анемия (3,7 на 1000 населения). К территориям выше среднеобластного показателя относятся 22 территории: </w:t>
      </w:r>
      <w:r w:rsidR="006858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Pr="00A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Барабинский </w:t>
      </w:r>
      <w:r w:rsidR="00685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(8,6).</w:t>
      </w:r>
    </w:p>
    <w:p w:rsidR="00A70D8F" w:rsidRPr="00FD387A" w:rsidRDefault="00A70D8F" w:rsidP="00A70D8F">
      <w:pPr>
        <w:jc w:val="center"/>
        <w:rPr>
          <w:b/>
        </w:rPr>
      </w:pPr>
      <w:r w:rsidRPr="00FD387A">
        <w:rPr>
          <w:b/>
        </w:rPr>
        <w:t>Показатели водопотребления и водоотведения в 2020 году</w:t>
      </w:r>
    </w:p>
    <w:p w:rsidR="00A70D8F" w:rsidRPr="00FD387A" w:rsidRDefault="00A70D8F" w:rsidP="00A70D8F">
      <w:pPr>
        <w:jc w:val="center"/>
        <w:rPr>
          <w:b/>
          <w:highlight w:val="yellow"/>
        </w:rPr>
      </w:pPr>
    </w:p>
    <w:tbl>
      <w:tblPr>
        <w:tblW w:w="11794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7"/>
        <w:gridCol w:w="709"/>
        <w:gridCol w:w="709"/>
        <w:gridCol w:w="709"/>
        <w:gridCol w:w="850"/>
        <w:gridCol w:w="993"/>
        <w:gridCol w:w="850"/>
        <w:gridCol w:w="709"/>
        <w:gridCol w:w="1134"/>
        <w:gridCol w:w="992"/>
        <w:gridCol w:w="1134"/>
        <w:gridCol w:w="1418"/>
      </w:tblGrid>
      <w:tr w:rsidR="00D74C43" w:rsidRPr="00506CCD" w:rsidTr="00D74C43">
        <w:trPr>
          <w:trHeight w:val="588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М</w:t>
            </w:r>
            <w:bookmarkStart w:id="0" w:name="_GoBack"/>
            <w:bookmarkEnd w:id="0"/>
            <w:r w:rsidRPr="00506CCD">
              <w:rPr>
                <w:sz w:val="20"/>
                <w:szCs w:val="20"/>
              </w:rPr>
              <w:t>униципальное образование Новосибирской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Забо</w:t>
            </w:r>
            <w:r>
              <w:rPr>
                <w:sz w:val="20"/>
                <w:szCs w:val="20"/>
              </w:rPr>
              <w:t>р воды из водных объектов, млн. </w:t>
            </w:r>
            <w:r w:rsidRPr="00506CCD">
              <w:rPr>
                <w:sz w:val="20"/>
                <w:szCs w:val="20"/>
              </w:rPr>
              <w:t>м</w:t>
            </w:r>
            <w:r w:rsidRPr="00B974B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Использовано свежей воды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Потери при транспортировке, млн.</w:t>
            </w:r>
            <w:r>
              <w:rPr>
                <w:sz w:val="20"/>
                <w:szCs w:val="20"/>
              </w:rPr>
              <w:t> </w:t>
            </w:r>
            <w:r w:rsidRPr="00506CCD">
              <w:rPr>
                <w:sz w:val="20"/>
                <w:szCs w:val="20"/>
              </w:rPr>
              <w:t>м</w:t>
            </w:r>
            <w:r w:rsidRPr="00B974B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Объем оборотного, повторного и последовательного водоснабжения, млн.</w:t>
            </w:r>
            <w:r>
              <w:rPr>
                <w:sz w:val="20"/>
                <w:szCs w:val="20"/>
              </w:rPr>
              <w:t> </w:t>
            </w:r>
            <w:r w:rsidRPr="00506CCD">
              <w:rPr>
                <w:sz w:val="20"/>
                <w:szCs w:val="20"/>
              </w:rPr>
              <w:t>м</w:t>
            </w:r>
            <w:r w:rsidRPr="00B974B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Сброшено сточной воды в пов</w:t>
            </w:r>
            <w:r>
              <w:rPr>
                <w:sz w:val="20"/>
                <w:szCs w:val="20"/>
              </w:rPr>
              <w:t>ерхностные водные объекты, млн. </w:t>
            </w:r>
            <w:r w:rsidRPr="00506CCD">
              <w:rPr>
                <w:sz w:val="20"/>
                <w:szCs w:val="20"/>
              </w:rPr>
              <w:t>м</w:t>
            </w:r>
            <w:r w:rsidRPr="00B974B1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74C43" w:rsidRPr="00506CCD" w:rsidTr="00D74C43">
        <w:trPr>
          <w:trHeight w:val="271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Поверхностных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Подземных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из них:</w:t>
            </w:r>
          </w:p>
        </w:tc>
      </w:tr>
      <w:tr w:rsidR="00D74C43" w:rsidRPr="00506CCD" w:rsidTr="00D74C43">
        <w:trPr>
          <w:cantSplit/>
          <w:trHeight w:val="1551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питьевые и хозяйственно-бытовые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506CCD">
              <w:rPr>
                <w:sz w:val="20"/>
                <w:szCs w:val="20"/>
              </w:rPr>
              <w:t>роизвод</w:t>
            </w:r>
            <w:r>
              <w:rPr>
                <w:sz w:val="20"/>
                <w:szCs w:val="20"/>
              </w:rPr>
              <w:t>-ст</w:t>
            </w:r>
            <w:r w:rsidRPr="00506CCD">
              <w:rPr>
                <w:sz w:val="20"/>
                <w:szCs w:val="20"/>
              </w:rPr>
              <w:t>венные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</w:t>
            </w:r>
            <w:r w:rsidRPr="00506CCD">
              <w:rPr>
                <w:sz w:val="20"/>
                <w:szCs w:val="20"/>
              </w:rPr>
              <w:t>зяйственное водоснабжение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загрязненной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нормативно-очищенной на сооружениях очистки</w:t>
            </w:r>
          </w:p>
        </w:tc>
      </w:tr>
      <w:tr w:rsidR="00D74C43" w:rsidRPr="00506CCD" w:rsidTr="00D74C43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Барабинский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8F" w:rsidRPr="00506CCD" w:rsidRDefault="00A70D8F" w:rsidP="003E5688">
            <w:pPr>
              <w:jc w:val="center"/>
              <w:rPr>
                <w:sz w:val="20"/>
                <w:szCs w:val="20"/>
              </w:rPr>
            </w:pPr>
            <w:r w:rsidRPr="00506CCD">
              <w:rPr>
                <w:sz w:val="20"/>
                <w:szCs w:val="20"/>
              </w:rPr>
              <w:t>0</w:t>
            </w:r>
          </w:p>
        </w:tc>
      </w:tr>
    </w:tbl>
    <w:p w:rsidR="00A70D8F" w:rsidRDefault="00A70D8F" w:rsidP="00A70D8F">
      <w:pPr>
        <w:rPr>
          <w:b/>
          <w:sz w:val="28"/>
          <w:szCs w:val="28"/>
        </w:rPr>
      </w:pPr>
    </w:p>
    <w:p w:rsidR="00A70D8F" w:rsidRPr="00A70D8F" w:rsidRDefault="00F64A31" w:rsidP="00A7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70D8F" w:rsidRPr="00A70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70D8F" w:rsidRPr="00A70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безопасности питьевой воды</w:t>
      </w:r>
    </w:p>
    <w:p w:rsidR="00A70D8F" w:rsidRPr="00A70D8F" w:rsidRDefault="00A70D8F" w:rsidP="00A7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4"/>
        <w:gridCol w:w="2216"/>
        <w:gridCol w:w="2193"/>
        <w:gridCol w:w="2122"/>
      </w:tblGrid>
      <w:tr w:rsidR="00A70D8F" w:rsidRPr="00A70D8F" w:rsidTr="003E5688">
        <w:trPr>
          <w:trHeight w:val="20"/>
          <w:jc w:val="center"/>
        </w:trPr>
        <w:tc>
          <w:tcPr>
            <w:tcW w:w="1257" w:type="pct"/>
            <w:vAlign w:val="center"/>
          </w:tcPr>
          <w:p w:rsidR="00A70D8F" w:rsidRPr="00A70D8F" w:rsidRDefault="00A70D8F" w:rsidP="00A70D8F">
            <w:pPr>
              <w:tabs>
                <w:tab w:val="left" w:pos="6379"/>
              </w:tabs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270" w:type="pct"/>
            <w:vAlign w:val="center"/>
          </w:tcPr>
          <w:p w:rsidR="00A70D8F" w:rsidRPr="00A70D8F" w:rsidRDefault="00A70D8F" w:rsidP="00A70D8F">
            <w:pPr>
              <w:tabs>
                <w:tab w:val="left" w:pos="6379"/>
              </w:tabs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проб воды, не соответствующих СанПиН 2.1.4.1074-01 по санитарно-химическим показателям</w:t>
            </w:r>
          </w:p>
        </w:tc>
        <w:tc>
          <w:tcPr>
            <w:tcW w:w="1257" w:type="pct"/>
            <w:vAlign w:val="center"/>
          </w:tcPr>
          <w:p w:rsidR="00A70D8F" w:rsidRPr="00A70D8F" w:rsidRDefault="00A70D8F" w:rsidP="00A70D8F">
            <w:pPr>
              <w:tabs>
                <w:tab w:val="left" w:pos="6379"/>
              </w:tabs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1216" w:type="pct"/>
            <w:vAlign w:val="center"/>
          </w:tcPr>
          <w:p w:rsidR="00A70D8F" w:rsidRPr="00A70D8F" w:rsidRDefault="00A70D8F" w:rsidP="00A70D8F">
            <w:pPr>
              <w:tabs>
                <w:tab w:val="left" w:pos="6379"/>
              </w:tabs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проб воды, не соответствующих СанПиН 2.1.4.1074-01 по микробиологическим показателям</w:t>
            </w:r>
          </w:p>
        </w:tc>
      </w:tr>
      <w:tr w:rsidR="00A70D8F" w:rsidRPr="00A70D8F" w:rsidTr="003E5688">
        <w:trPr>
          <w:trHeight w:val="20"/>
          <w:jc w:val="center"/>
        </w:trPr>
        <w:tc>
          <w:tcPr>
            <w:tcW w:w="1257" w:type="pct"/>
            <w:vAlign w:val="center"/>
          </w:tcPr>
          <w:p w:rsidR="00A70D8F" w:rsidRPr="00A70D8F" w:rsidRDefault="00A70D8F" w:rsidP="00A70D8F">
            <w:pPr>
              <w:tabs>
                <w:tab w:val="left" w:pos="6379"/>
              </w:tabs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Барабинский район</w:t>
            </w:r>
          </w:p>
        </w:tc>
        <w:tc>
          <w:tcPr>
            <w:tcW w:w="1270" w:type="pct"/>
            <w:vAlign w:val="center"/>
          </w:tcPr>
          <w:p w:rsidR="00A70D8F" w:rsidRPr="00A70D8F" w:rsidRDefault="00A70D8F" w:rsidP="00A70D8F">
            <w:pPr>
              <w:tabs>
                <w:tab w:val="left" w:pos="6379"/>
              </w:tabs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257" w:type="pct"/>
            <w:vAlign w:val="center"/>
          </w:tcPr>
          <w:p w:rsidR="00A70D8F" w:rsidRPr="00A70D8F" w:rsidRDefault="00A70D8F" w:rsidP="00A70D8F">
            <w:pPr>
              <w:tabs>
                <w:tab w:val="left" w:pos="6379"/>
              </w:tabs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Барабинский район</w:t>
            </w:r>
          </w:p>
        </w:tc>
        <w:tc>
          <w:tcPr>
            <w:tcW w:w="1216" w:type="pct"/>
            <w:vAlign w:val="center"/>
          </w:tcPr>
          <w:p w:rsidR="00A70D8F" w:rsidRPr="00A70D8F" w:rsidRDefault="00A70D8F" w:rsidP="00A70D8F">
            <w:pPr>
              <w:tabs>
                <w:tab w:val="left" w:pos="6379"/>
              </w:tabs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</w:tbl>
    <w:p w:rsidR="00A70D8F" w:rsidRPr="005B0EFD" w:rsidRDefault="00A70D8F" w:rsidP="00A70D8F">
      <w:pPr>
        <w:rPr>
          <w:b/>
          <w:sz w:val="28"/>
          <w:szCs w:val="28"/>
        </w:rPr>
      </w:pPr>
    </w:p>
    <w:sectPr w:rsidR="00A70D8F" w:rsidRPr="005B0EFD" w:rsidSect="001345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E0A"/>
    <w:rsid w:val="001345A3"/>
    <w:rsid w:val="00154B8C"/>
    <w:rsid w:val="002F7E0A"/>
    <w:rsid w:val="005407CB"/>
    <w:rsid w:val="005B0EFD"/>
    <w:rsid w:val="00685847"/>
    <w:rsid w:val="00976C1E"/>
    <w:rsid w:val="00A70D8F"/>
    <w:rsid w:val="00D74C43"/>
    <w:rsid w:val="00EC4703"/>
    <w:rsid w:val="00F64A31"/>
    <w:rsid w:val="00F96D5D"/>
    <w:rsid w:val="00FD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Ира</cp:lastModifiedBy>
  <cp:revision>7</cp:revision>
  <dcterms:created xsi:type="dcterms:W3CDTF">2021-12-10T08:41:00Z</dcterms:created>
  <dcterms:modified xsi:type="dcterms:W3CDTF">2021-12-28T08:00:00Z</dcterms:modified>
</cp:coreProperties>
</file>